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default" w:ascii="Times New Roman" w:hAnsi="Times New Roman" w:eastAsia="宋体" w:cs="Times New Roman"/>
          <w:b w:val="0"/>
          <w:bCs/>
          <w:color w:val="FF0000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3705860</wp:posOffset>
                </wp:positionH>
                <wp:positionV relativeFrom="paragraph">
                  <wp:posOffset>-474980</wp:posOffset>
                </wp:positionV>
                <wp:extent cx="1714500" cy="6286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23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【B】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【同意公开】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1.8pt;margin-top:-37.4pt;height:49.5pt;width:135pt;z-index:251659264;mso-width-relative:page;mso-height-relative:page;" fillcolor="#FFFFFF" filled="t" stroked="f" coordsize="21600,21600" o:gfxdata="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6AHijYAAAACgEAAA8AAAAAAAAAAQAgAAAAIgAAAGRycy9kb3ducmV2LnhtbFBLAQIUABQAAAAI&#10;AIdO4kA7hp/2tAEAAEADAAAOAAAAAAAAAAEAIAAAACcBAABkcnMvZTJvRG9jLnhtbFBLBQYAAAAA&#10;BgAGAFkBAABN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【B】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【同意公开】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FF000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FF0000"/>
          <w:sz w:val="52"/>
          <w:szCs w:val="52"/>
        </w:rPr>
        <w:t>宁夏回族自治区地方金融监督管理局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000000"/>
          <w:szCs w:val="32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99695</wp:posOffset>
                </wp:positionV>
                <wp:extent cx="5829300" cy="0"/>
                <wp:effectExtent l="0" t="28575" r="0" b="28575"/>
                <wp:wrapNone/>
                <wp:docPr id="6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8pt;margin-top:7.85pt;height:0pt;width:459pt;z-index:251658240;mso-width-relative:page;mso-height-relative:page;" filled="f" stroked="t" coordsize="21600,21600" o:gfxdata="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Vf+eedQAAAAJAQAADwAAAAAAAAABACAA&#10;AAAiAAAAZHJzL2Rvd25yZXYueG1sUEsBAhQAFAAAAAgAh07iQM9Xy+zYAQAAogMAAA4AAAAAAAAA&#10;AQAgAAAAIwEAAGRycy9lMm9Eb2MueG1sUEsFBgAAAAAGAAYAWQEAAG0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Lines="0" w:afterLines="0" w:line="400" w:lineRule="exact"/>
        <w:jc w:val="right"/>
        <w:rPr>
          <w:rFonts w:hint="default" w:ascii="Times New Roman" w:hAnsi="Times New Roman" w:eastAsia="宋体" w:cs="Times New Roman"/>
          <w:b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sz w:val="32"/>
          <w:szCs w:val="32"/>
        </w:rPr>
        <w:t>宁地金监函〔20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cs="Times New Roman"/>
          <w:b/>
          <w:bCs w:val="0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spacing w:beforeLines="0" w:afterLines="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自治区地方金融监管局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关于自治区政协</w:t>
      </w:r>
    </w:p>
    <w:p>
      <w:pPr>
        <w:keepNext w:val="0"/>
        <w:keepLines w:val="0"/>
        <w:pageBreakBefore w:val="0"/>
        <w:kinsoku/>
        <w:wordWrap/>
        <w:overflowPunct/>
        <w:bidi w:val="0"/>
        <w:spacing w:beforeLines="0" w:afterLines="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十一届四次会议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提案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28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0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号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协办意见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Lines="0" w:line="60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自治区工业和信息化厅：</w:t>
      </w:r>
    </w:p>
    <w:p>
      <w:pPr>
        <w:spacing w:line="580" w:lineRule="exact"/>
        <w:ind w:firstLine="645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《关于持续释放“降成本”政策红利助力企业发展的提案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》被自治区政协十一届四次会议确定为第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280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号提案，由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自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治区工业和信息化厅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牵头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发改委、财政厅、人社厅、商务厅、金融局配合办理。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现就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自治区政府办公厅党组成员、副主任，自治区政协提案委副主任，自治区青联常委丁波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提出的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关于持续释放“降成本”政策红利助力企业发展的提案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，提出如下协办意见：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11"/>
          <w:right w:val="none" w:color="auto" w:sz="0" w:space="0"/>
        </w:pBd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beforeLines="0" w:afterLines="0"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1"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 xml:space="preserve">  一、金融支持民营企业发展基本情况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11"/>
          <w:right w:val="none" w:color="auto" w:sz="0" w:space="0"/>
        </w:pBd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beforeLines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（一）贷款新增计划落实有力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截至2021年5月末，全区各项贷款余额突破8000亿元，达到8009.15亿元，同比增长5.5%（全国人民币贷款余额同比增长12.2%），全区新增贷款226.55亿元，完成全年目标任务的37.76%。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11"/>
          <w:right w:val="none" w:color="auto" w:sz="0" w:space="0"/>
        </w:pBd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beforeLines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（二）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lang w:eastAsia="zh-CN"/>
        </w:rPr>
        <w:t>加强重点领域信贷支持。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聚焦自治区九大重点产业发展和“四权”改革，制定多项金融支持方案，目前已印发《动物活体抵押贷款服务指引》《金融支持中宁县枸杞产业高质量发展试点工作实施方案》，正在研究制定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《关于金融支持葡萄酒产业高质量发展的意见》《关于金融支持奶产业高质量发展的意见》及金融支持“四权”改革等政策文件，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32"/>
          <w:szCs w:val="32"/>
          <w:lang w:val="en-US" w:eastAsia="zh-CN"/>
        </w:rPr>
        <w:t>从政策层面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引导金融机构加大对民营经济和民营企业支持力度。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32"/>
          <w:szCs w:val="32"/>
          <w:lang w:val="en-US" w:eastAsia="zh-CN"/>
        </w:rPr>
        <w:t>2021年举办5场九大重点融资对接活动，组织银行机构对市、县（市、区）相关企业进行金融政策和金融工具宣讲。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截至一季度末，全区金融机构共向九大产业提供信贷资金1654.2亿元、贷款户数27.15万户，较2020年末增加71.4亿元、1.97万户。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11"/>
          <w:right w:val="none" w:color="auto" w:sz="0" w:space="0"/>
        </w:pBd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beforeLines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帮助企业纾困行动有力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通过持续发挥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32"/>
          <w:szCs w:val="32"/>
          <w:lang w:val="en-US" w:eastAsia="zh-CN"/>
        </w:rPr>
        <w:t>宁夏企业续贷服务协调中心、首贷服务协调中心和企业信用修复调解委员会功能作用，全力帮助降低企业融资成本，提高信贷审批效率，帮助受法律诉讼及三角债务纠纷缠身无法正常经营的企业解套续链，恢复发展。目前，首、续贷中心已成功办理续贷业务139笔，金额总计20.88亿元。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 w:bidi="ar-SA"/>
        </w:rPr>
        <w:t>对贷款余额3亿元以上的67家民营企业和62家商业综合体建立企业联络员服务机制，由局领导和处级干部分片包抓，实行“一企一策”精准帮扶。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截至5月末，全区普惠小微企业贷款余额692.71亿元，同比增长9.77%，较各项贷款增速高4.27个百分点。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 w:bidi="ar-SA"/>
        </w:rPr>
        <w:t>固原农商行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在农村金融服务联络员制度基础上，创新推出了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“驻村金融官”机制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探索出一条促进金融服务与基层党建、自身发展与银政互动深度融合，更好巩固脱贫攻坚成果、助力乡村振兴战略的新路子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，该行现有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位同志被中河乡党委任命为 “驻村金融官”。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11"/>
          <w:right w:val="none" w:color="auto" w:sz="0" w:space="0"/>
        </w:pBd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beforeLines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）金融服务供给优化改善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引导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各银行机构从科技保障、风控、合规、流程、渠道建设等方面加强机制建设和架构优化，金融服务的主动性、针对性和时效性不断增强。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宁夏中小企业融资服务平台于6月8日正式上线，截至2021年5月末，平台已对接28个相关部门政务涉企数据近2,000项，平台入驻金融机构34家，注册企业450余户，上线融资产品103款，累计发布融资需求10.71亿元，累计解决融资需求115笔，金额4.03亿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同时，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 w:bidi="ar-SA"/>
        </w:rPr>
        <w:t>引导金融机构完善小微企业信用贷款政策，鼓励对资信良好、资金周转量大的小微企业发放信用贷款。截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至2021年一季度末，一季度末全区信用贷款余额1641.74亿元，较年初增长84.46亿元。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11"/>
          <w:right w:val="none" w:color="auto" w:sz="0" w:space="0"/>
        </w:pBd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beforeLines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下一步工作措施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11"/>
          <w:right w:val="none" w:color="auto" w:sz="0" w:space="0"/>
        </w:pBd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beforeLines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尽管金融监管部门和银行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等金融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机构在落实金融支持企业发展政策方面做了大量工作、取得了一定的成绩，但仍存在着以下问题，影响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民营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企业获得感。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下一步，我们将重点做好以下工作：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11"/>
          <w:right w:val="none" w:color="auto" w:sz="0" w:space="0"/>
        </w:pBdr>
        <w:kinsoku/>
        <w:wordWrap/>
        <w:overflowPunct/>
        <w:topLinePunct w:val="0"/>
        <w:autoSpaceDE/>
        <w:bidi w:val="0"/>
        <w:adjustRightInd w:val="0"/>
        <w:snapToGrid w:val="0"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（一）加强全产业链专业化金融服务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。围绕自治区产业发展布局，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引导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金融机构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根据自身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基础和专业优势，深入研究相关产业发展特点和风险要素，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针对性制定金融服务方案，深入做好精准对接和全方位融资服务。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此外，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在现有信用贷款试点的基础上，进一步总结前期工作，积极推进信用贷款扩面增量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提升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民营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企业获得感。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11"/>
          <w:right w:val="none" w:color="auto" w:sz="0" w:space="0"/>
        </w:pBdr>
        <w:kinsoku/>
        <w:wordWrap/>
        <w:overflowPunct/>
        <w:topLinePunct w:val="0"/>
        <w:autoSpaceDE/>
        <w:bidi w:val="0"/>
        <w:adjustRightInd w:val="0"/>
        <w:snapToGrid w:val="0"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21"/>
          <w:sz w:val="32"/>
          <w:szCs w:val="32"/>
          <w:lang w:val="en-US" w:eastAsia="zh-CN" w:bidi="ar-SA"/>
        </w:rPr>
        <w:t>完善困难企业融资帮扶机制。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发挥好宁夏中小企业融资服务平台建设，完善企业信用信息共享机制，探索建立中小企业免担保、免抵押贷款机制，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2"/>
          <w:szCs w:val="32"/>
          <w:lang w:val="en-US" w:eastAsia="zh-CN"/>
        </w:rPr>
        <w:t>推动银行扩大合同、供应链金融、应收账款等信用类贷款适用范围和授信规模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。完善股债结合、债转股、投贷联动等融资机制，积极拓宽企业融资渠道。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11"/>
          <w:right w:val="none" w:color="auto" w:sz="0" w:space="0"/>
        </w:pBdr>
        <w:kinsoku/>
        <w:wordWrap/>
        <w:overflowPunct/>
        <w:topLinePunct w:val="0"/>
        <w:autoSpaceDE/>
        <w:bidi w:val="0"/>
        <w:adjustRightInd w:val="0"/>
        <w:snapToGrid w:val="0"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21"/>
          <w:sz w:val="32"/>
          <w:szCs w:val="32"/>
          <w:lang w:val="en-US" w:eastAsia="zh-CN" w:bidi="ar-SA"/>
        </w:rPr>
        <w:t>建立完善定期督查机制。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合自治区党委、政府督查室和有关厅局对落实中央、自治区有关营商环境，服务民营经济和民营企业等重大决策部署不力的金融机构进行督查，并督促其切实整改提升，改进服务质效；对服务较好的通过“金融支持贡献奖”“金融服务创新奖”“金融环境创建奖”予以表彰奖励，形成我区对银行业贯彻落实中央、自治区重大决策部署督查的长效机制。</w:t>
      </w:r>
    </w:p>
    <w:p>
      <w:pPr>
        <w:pStyle w:val="2"/>
        <w:spacing w:beforeLines="0" w:afterLines="0" w:line="600" w:lineRule="exact"/>
        <w:ind w:firstLine="3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beforeLines="0" w:afterLines="0" w:line="600" w:lineRule="exact"/>
        <w:ind w:firstLine="4800" w:firstLineChars="15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beforeLines="0" w:afterLines="0" w:line="600" w:lineRule="exact"/>
        <w:ind w:firstLine="4800" w:firstLineChars="15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自治区地方金融监管局</w:t>
      </w:r>
    </w:p>
    <w:p>
      <w:pPr>
        <w:spacing w:beforeLines="0" w:afterLines="0"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620" w:lineRule="exact"/>
        <w:ind w:left="0" w:leftChars="0" w:right="0" w:rightChars="0" w:firstLine="0" w:firstLineChars="0"/>
        <w:jc w:val="both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napToGrid/>
        <w:spacing w:line="620" w:lineRule="exact"/>
        <w:ind w:left="0" w:leftChars="0" w:right="0" w:rightChars="0" w:firstLine="0" w:firstLineChars="0"/>
        <w:textAlignment w:val="bottom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自治区地方金融监管局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服务一处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万春明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0951-6363435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仿宋_GB2312" w:cs="Times New Roman"/>
          <w:w w:val="100"/>
          <w:sz w:val="32"/>
        </w:rPr>
      </w:pPr>
      <w:r>
        <w:rPr>
          <w:rFonts w:hint="default" w:ascii="Times New Roman" w:hAnsi="Times New Roman" w:eastAsia="仿宋_GB2312" w:cs="Times New Roman"/>
          <w:w w:val="100"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5080</wp:posOffset>
                </wp:positionV>
                <wp:extent cx="5507990" cy="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79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4.2pt;margin-top:0.4pt;height:0pt;width:433.7pt;z-index:251674624;mso-width-relative:page;mso-height-relative:page;" filled="f" stroked="t" coordsize="21600,21600" o:gfxdata="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dFkFbSAAAABAEAAA8AAAAAAAAAAQAgAAAAIgAAAGRy&#10;cy9kb3ducmV2LnhtbFBLAQIUABQAAAAIAIdO4kB73LZX0gEAAJsDAAAOAAAAAAAAAAEAIAAAACE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w w:val="100"/>
          <w:sz w:val="32"/>
        </w:rPr>
        <w:t>抄送：</w:t>
      </w:r>
      <w:r>
        <w:rPr>
          <w:rFonts w:hint="default" w:ascii="Times New Roman" w:hAnsi="Times New Roman" w:eastAsia="仿宋_GB2312" w:cs="Times New Roman"/>
          <w:color w:val="auto"/>
          <w:spacing w:val="-20"/>
          <w:sz w:val="32"/>
          <w:szCs w:val="32"/>
        </w:rPr>
        <w:t>自治区政协提案委员会</w:t>
      </w:r>
      <w:r>
        <w:rPr>
          <w:rFonts w:hint="default" w:ascii="Times New Roman" w:hAnsi="Times New Roman" w:eastAsia="仿宋_GB2312" w:cs="Times New Roman"/>
          <w:color w:val="auto"/>
          <w:spacing w:val="-2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20"/>
          <w:sz w:val="32"/>
          <w:szCs w:val="32"/>
        </w:rPr>
        <w:t>自治区人民政府督查室。</w:t>
      </w:r>
    </w:p>
    <w:p>
      <w:pPr>
        <w:spacing w:line="600" w:lineRule="exact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412750</wp:posOffset>
                </wp:positionV>
                <wp:extent cx="5507990" cy="0"/>
                <wp:effectExtent l="0" t="0" r="0" b="0"/>
                <wp:wrapNone/>
                <wp:docPr id="8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79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1.35pt;margin-top:32.5pt;height:0pt;width:433.7pt;z-index:251672576;mso-width-relative:page;mso-height-relative:page;" filled="f" stroked="t" coordsize="21600,21600" o:gfxdata="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RlVDUdUAAAAIAQAADwAAAAAAAAABACAAAAAiAAAA&#10;ZHJzL2Rvd25yZXYueG1sUEsBAhQAFAAAAAgAh07iQH/YRFLRAQAAmw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20320</wp:posOffset>
                </wp:positionV>
                <wp:extent cx="5507990" cy="0"/>
                <wp:effectExtent l="0" t="0" r="0" b="0"/>
                <wp:wrapNone/>
                <wp:docPr id="4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79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1.35pt;margin-top:1.6pt;height:0pt;width:433.7pt;z-index:251673600;mso-width-relative:page;mso-height-relative:page;" filled="f" stroked="t" coordsize="21600,21600" o:gfxdata="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Hb5D+0wAAAAYBAAAPAAAAAAAAAAEAIAAAACIAAABk&#10;cnMvZG93bnJldi54bWxQSwECFAAUAAAACACHTuJAXB2WytIBAACbAwAADgAAAAAAAAABACAAAAAi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</w:rPr>
        <w:t>宁夏回族自治区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地方</w:t>
      </w:r>
      <w:r>
        <w:rPr>
          <w:rFonts w:hint="default" w:ascii="Times New Roman" w:hAnsi="Times New Roman" w:eastAsia="仿宋_GB2312" w:cs="Times New Roman"/>
          <w:sz w:val="32"/>
        </w:rPr>
        <w:t>金融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监督管理</w:t>
      </w:r>
      <w:r>
        <w:rPr>
          <w:rFonts w:hint="default" w:ascii="Times New Roman" w:hAnsi="Times New Roman" w:eastAsia="仿宋_GB2312" w:cs="Times New Roman"/>
          <w:sz w:val="32"/>
        </w:rPr>
        <w:t xml:space="preserve">局 </w:t>
      </w:r>
      <w:r>
        <w:rPr>
          <w:rFonts w:hint="eastAsia" w:ascii="Times New Roman" w:hAnsi="Times New Roman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</w:rPr>
        <w:t>20</w:t>
      </w:r>
      <w:r>
        <w:rPr>
          <w:rFonts w:hint="eastAsia" w:ascii="Times New Roman" w:hAnsi="Times New Roman" w:cs="Times New Roman"/>
          <w:sz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</w:rPr>
        <w:t>年</w:t>
      </w:r>
      <w:r>
        <w:rPr>
          <w:rFonts w:hint="eastAsia" w:ascii="Times New Roman" w:hAnsi="Times New Roman" w:cs="Times New Roman"/>
          <w:sz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</w:rPr>
        <w:t>月</w:t>
      </w:r>
      <w:r>
        <w:rPr>
          <w:rFonts w:hint="eastAsia" w:ascii="Times New Roman" w:hAnsi="Times New Roman" w:cs="Times New Roman"/>
          <w:sz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</w:rPr>
        <w:t>日印发</w:t>
      </w:r>
    </w:p>
    <w:p/>
    <w:sectPr>
      <w:footerReference r:id="rId3" w:type="default"/>
      <w:footerReference r:id="rId4" w:type="even"/>
      <w:pgSz w:w="11906" w:h="16838"/>
      <w:pgMar w:top="1440" w:right="1644" w:bottom="1440" w:left="1644" w:header="851" w:footer="1247" w:gutter="0"/>
      <w:pgNumType w:fmt="numberInDash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-1905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  <w:rPr>
                              <w:rStyle w:val="5"/>
                              <w:rFonts w:ascii="Times New Roman" w:hAnsi="Times New Roman" w:eastAsia="Batang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Batang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Times New Roman" w:hAnsi="Times New Roman" w:eastAsia="Batang" w:cs="Times New Roman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Batang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Times New Roman" w:hAnsi="Times New Roman" w:eastAsia="Batang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Batang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DOo&#10;gtIAAAAGAQAADwAAAAAAAAABACAAAAAiAAAAZHJzL2Rvd25yZXYueG1sUEsBAhQAFAAAAAgAh07i&#10;QNzTxD62AQAAVAMAAA4AAAAAAAAAAQAgAAAAIQ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  <w:rPr>
                        <w:rStyle w:val="5"/>
                        <w:rFonts w:ascii="Times New Roman" w:hAnsi="Times New Roman" w:eastAsia="Batang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Batang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5"/>
                        <w:rFonts w:ascii="Times New Roman" w:hAnsi="Times New Roman" w:eastAsia="Batang" w:cs="Times New Roman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Batang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5"/>
                        <w:rFonts w:ascii="Times New Roman" w:hAnsi="Times New Roman" w:eastAsia="Batang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eastAsia="Batang" w:cs="Times New Roman"/>
                        <w:sz w:val="24"/>
                        <w:szCs w:val="24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-1905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5"/>
                              <w:rFonts w:ascii="Times New Roman" w:hAnsi="Times New Roman" w:eastAsia="Batang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Batang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Times New Roman" w:hAnsi="Times New Roman" w:eastAsia="Batang" w:cs="Times New Roman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Batang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Times New Roman" w:hAnsi="Times New Roman" w:eastAsia="Batang" w:cs="Times New Roman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Batang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default" w:ascii="Times New Roman" w:hAnsi="Times New Roman" w:eastAsia="Batang" w:cs="Times New Roman"/>
                              <w:sz w:val="24"/>
                              <w:szCs w:val="24"/>
                            </w:rPr>
                            <w:t xml:space="preserve">   </w:t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0.15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JAz&#10;qILSAAAABgEAAA8AAAAAAAAAAQAgAAAAIgAAAGRycy9kb3ducmV2LnhtbFBLAQIUABQAAAAIAIdO&#10;4kDBax01twEAAFQDAAAOAAAAAAAAAAEAIAAAACE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5"/>
                        <w:rFonts w:ascii="Times New Roman" w:hAnsi="Times New Roman" w:eastAsia="Batang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Batang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5"/>
                        <w:rFonts w:ascii="Times New Roman" w:hAnsi="Times New Roman" w:eastAsia="Batang" w:cs="Times New Roman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Batang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5"/>
                        <w:rFonts w:ascii="Times New Roman" w:hAnsi="Times New Roman" w:eastAsia="Batang" w:cs="Times New Roman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 w:eastAsia="Batang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5"/>
                        <w:rFonts w:hint="default" w:ascii="Times New Roman" w:hAnsi="Times New Roman" w:eastAsia="Batang" w:cs="Times New Roman"/>
                        <w:sz w:val="24"/>
                        <w:szCs w:val="24"/>
                      </w:rPr>
                      <w:t xml:space="preserve">   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73887"/>
    <w:rsid w:val="185437E8"/>
    <w:rsid w:val="1DED5EC4"/>
    <w:rsid w:val="568738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2021-06-29T03:16:00Z</dcterms:created>
  <dc:creator>自治区地方金融监管局收文员</dc:creator>
  <cp:lastModifiedBy>自治区地方金融监管局收文员</cp:lastModifiedBy>
  <dcterms:modified xsi:type="dcterms:W3CDTF">2021-08-02T02:14:41Z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