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default" w:ascii="Times New Roman" w:hAnsi="Times New Roman" w:eastAsia="黑体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b w:val="0"/>
          <w:bCs w:val="0"/>
          <w:sz w:val="32"/>
          <w:szCs w:val="32"/>
          <w:lang w:val="en-US" w:eastAsia="zh-CN"/>
        </w:rPr>
        <w:t>附件1</w:t>
      </w:r>
    </w:p>
    <w:p>
      <w:pPr>
        <w:pStyle w:val="2"/>
        <w:rPr>
          <w:rFonts w:hint="default" w:ascii="Times New Roman" w:hAnsi="Times New Roman" w:cs="Times New Roman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hint="default" w:ascii="Times New Roman" w:hAnsi="Times New Roman" w:eastAsia="方正小标宋_GBK" w:cs="Times New Roman"/>
          <w:b w:val="0"/>
          <w:bCs w:val="0"/>
          <w:sz w:val="44"/>
          <w:szCs w:val="44"/>
          <w:lang w:val="en-US" w:eastAsia="zh-CN"/>
        </w:rPr>
      </w:pPr>
      <w:r>
        <w:rPr>
          <w:rFonts w:hint="default" w:ascii="Times New Roman" w:hAnsi="Times New Roman" w:eastAsia="方正小标宋_GBK" w:cs="Times New Roman"/>
          <w:b w:val="0"/>
          <w:bCs w:val="0"/>
          <w:sz w:val="44"/>
          <w:szCs w:val="44"/>
          <w:lang w:val="en-US" w:eastAsia="zh-CN"/>
        </w:rPr>
        <w:t>202</w:t>
      </w:r>
      <w:r>
        <w:rPr>
          <w:rFonts w:hint="eastAsia" w:ascii="Times New Roman" w:hAnsi="Times New Roman" w:eastAsia="方正小标宋_GBK" w:cs="Times New Roman"/>
          <w:b w:val="0"/>
          <w:bCs w:val="0"/>
          <w:sz w:val="44"/>
          <w:szCs w:val="44"/>
          <w:lang w:val="en-US" w:eastAsia="zh-CN"/>
        </w:rPr>
        <w:t>6</w:t>
      </w:r>
      <w:r>
        <w:rPr>
          <w:rFonts w:hint="default" w:ascii="Times New Roman" w:hAnsi="Times New Roman" w:eastAsia="方正小标宋_GBK" w:cs="Times New Roman"/>
          <w:b w:val="0"/>
          <w:bCs w:val="0"/>
          <w:sz w:val="44"/>
          <w:szCs w:val="44"/>
          <w:lang w:val="en-US" w:eastAsia="zh-CN"/>
        </w:rPr>
        <w:t>年金融领域课题研究</w:t>
      </w:r>
      <w:r>
        <w:rPr>
          <w:rFonts w:hint="eastAsia" w:ascii="Times New Roman" w:hAnsi="Times New Roman" w:eastAsia="方正小标宋_GBK" w:cs="Times New Roman"/>
          <w:b w:val="0"/>
          <w:bCs w:val="0"/>
          <w:sz w:val="44"/>
          <w:szCs w:val="44"/>
          <w:lang w:val="en-US" w:eastAsia="zh-CN"/>
        </w:rPr>
        <w:t>方向</w:t>
      </w:r>
      <w:r>
        <w:rPr>
          <w:rFonts w:hint="default" w:ascii="Times New Roman" w:hAnsi="Times New Roman" w:eastAsia="方正小标宋_GBK" w:cs="Times New Roman"/>
          <w:b w:val="0"/>
          <w:bCs w:val="0"/>
          <w:sz w:val="44"/>
          <w:szCs w:val="44"/>
          <w:lang w:val="en-US" w:eastAsia="zh-CN"/>
        </w:rPr>
        <w:t>参考</w:t>
      </w:r>
      <w:bookmarkStart w:id="0" w:name="OLE_LINK3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b/>
          <w:bCs/>
          <w:sz w:val="32"/>
          <w:szCs w:val="32"/>
          <w:lang w:val="en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" w:eastAsia="zh-CN"/>
        </w:rPr>
        <w:t>一、加强党对金融工作的全面领导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val="en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" w:eastAsia="zh-CN"/>
        </w:rPr>
        <w:t>新时代坚持和加强党的领导开创金融工作新局面的研究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强化党建引领助推金融高质量发展双提升的思考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val="en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强化</w:t>
      </w:r>
      <w:r>
        <w:rPr>
          <w:rFonts w:hint="eastAsia" w:ascii="Times New Roman" w:hAnsi="Times New Roman" w:eastAsia="仿宋_GB2312" w:cs="Times New Roman"/>
          <w:sz w:val="32"/>
          <w:szCs w:val="32"/>
          <w:lang w:val="en" w:eastAsia="zh-CN"/>
        </w:rPr>
        <w:t>国有金融企业基层党建工作的研究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" w:eastAsia="zh-CN"/>
        </w:rPr>
        <w:t>推动地方金融企业党建业务深融互促的思考</w:t>
      </w:r>
      <w:bookmarkStart w:id="1" w:name="_GoBack"/>
      <w:bookmarkEnd w:id="1"/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5.加强混合所有制和非公有制金融机构党的领导的研究</w:t>
      </w:r>
    </w:p>
    <w:p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6.强化党建引领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打造忠诚干净担当的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金融人才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队伍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的研究</w:t>
      </w:r>
    </w:p>
    <w:p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7.关于“党建+金融”赋能产业发展的研究</w:t>
      </w:r>
    </w:p>
    <w:p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8.</w:t>
      </w:r>
      <w:r>
        <w:rPr>
          <w:rFonts w:hint="default" w:ascii="Times New Roman" w:hAnsi="Times New Roman" w:eastAsia="仿宋_GB2312" w:cs="Times New Roman"/>
          <w:sz w:val="32"/>
          <w:szCs w:val="32"/>
          <w:lang w:val="en" w:eastAsia="zh-CN"/>
        </w:rPr>
        <w:t>新形势下金融领域反腐败对策研究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left"/>
        <w:textAlignment w:val="auto"/>
        <w:rPr>
          <w:rFonts w:hint="default" w:ascii="黑体" w:hAnsi="黑体" w:eastAsia="黑体" w:cs="黑体"/>
          <w:b w:val="0"/>
          <w:bCs w:val="0"/>
          <w:sz w:val="32"/>
          <w:szCs w:val="32"/>
          <w:lang w:val="en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" w:eastAsia="zh-CN"/>
        </w:rPr>
        <w:t>二</w:t>
      </w:r>
      <w:r>
        <w:rPr>
          <w:rFonts w:hint="default" w:ascii="黑体" w:hAnsi="黑体" w:eastAsia="黑体" w:cs="黑体"/>
          <w:b w:val="0"/>
          <w:bCs w:val="0"/>
          <w:sz w:val="32"/>
          <w:szCs w:val="32"/>
          <w:lang w:val="en" w:eastAsia="zh-CN"/>
        </w:rPr>
        <w:t>、防范化解金融风险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9.</w:t>
      </w:r>
      <w:r>
        <w:rPr>
          <w:rFonts w:hint="default" w:ascii="Times New Roman" w:hAnsi="Times New Roman" w:eastAsia="仿宋_GB2312" w:cs="Times New Roman"/>
          <w:sz w:val="32"/>
          <w:szCs w:val="32"/>
          <w:lang w:val="en" w:eastAsia="zh-CN"/>
        </w:rPr>
        <w:t>宁夏金融风险防范化解机制研究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10.</w:t>
      </w:r>
      <w:r>
        <w:rPr>
          <w:rFonts w:hint="default" w:ascii="Times New Roman" w:hAnsi="Times New Roman" w:eastAsia="仿宋_GB2312" w:cs="Times New Roman"/>
          <w:sz w:val="32"/>
          <w:szCs w:val="32"/>
          <w:lang w:val="en" w:eastAsia="zh-CN"/>
        </w:rPr>
        <w:t>宁夏金融风险常态化监测</w:t>
      </w:r>
      <w:r>
        <w:rPr>
          <w:rFonts w:hint="eastAsia" w:ascii="Times New Roman" w:hAnsi="Times New Roman" w:eastAsia="仿宋_GB2312" w:cs="Times New Roman"/>
          <w:sz w:val="32"/>
          <w:szCs w:val="32"/>
          <w:lang w:val="en" w:eastAsia="zh-CN"/>
        </w:rPr>
        <w:t>预警</w:t>
      </w:r>
      <w:r>
        <w:rPr>
          <w:rFonts w:hint="default" w:ascii="Times New Roman" w:hAnsi="Times New Roman" w:eastAsia="仿宋_GB2312" w:cs="Times New Roman"/>
          <w:sz w:val="32"/>
          <w:szCs w:val="32"/>
          <w:lang w:val="en" w:eastAsia="zh-CN"/>
        </w:rPr>
        <w:t>机制研究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11.</w:t>
      </w:r>
      <w:r>
        <w:rPr>
          <w:rFonts w:hint="eastAsia" w:ascii="Times New Roman" w:hAnsi="Times New Roman" w:eastAsia="仿宋_GB2312" w:cs="Times New Roman"/>
          <w:sz w:val="32"/>
          <w:szCs w:val="32"/>
          <w:lang w:val="en" w:eastAsia="zh-CN"/>
        </w:rPr>
        <w:t>关于</w:t>
      </w:r>
      <w:r>
        <w:rPr>
          <w:rFonts w:hint="default" w:ascii="Times New Roman" w:hAnsi="Times New Roman" w:eastAsia="仿宋_GB2312" w:cs="Times New Roman"/>
          <w:sz w:val="32"/>
          <w:szCs w:val="32"/>
          <w:lang w:val="en" w:eastAsia="zh-CN"/>
        </w:rPr>
        <w:t>企业</w:t>
      </w:r>
      <w:r>
        <w:rPr>
          <w:rFonts w:hint="eastAsia" w:ascii="Times New Roman" w:hAnsi="Times New Roman" w:eastAsia="仿宋_GB2312" w:cs="Times New Roman"/>
          <w:sz w:val="32"/>
          <w:szCs w:val="32"/>
          <w:lang w:val="en" w:eastAsia="zh-CN"/>
        </w:rPr>
        <w:t>债务违约风险</w:t>
      </w:r>
      <w:r>
        <w:rPr>
          <w:rFonts w:hint="default" w:ascii="Times New Roman" w:hAnsi="Times New Roman" w:eastAsia="仿宋_GB2312" w:cs="Times New Roman"/>
          <w:sz w:val="32"/>
          <w:szCs w:val="32"/>
          <w:lang w:val="en" w:eastAsia="zh-CN"/>
        </w:rPr>
        <w:t>防范</w:t>
      </w:r>
      <w:r>
        <w:rPr>
          <w:rFonts w:hint="eastAsia" w:ascii="Times New Roman" w:hAnsi="Times New Roman" w:eastAsia="仿宋_GB2312" w:cs="Times New Roman"/>
          <w:sz w:val="32"/>
          <w:szCs w:val="32"/>
          <w:lang w:val="en" w:eastAsia="zh-CN"/>
        </w:rPr>
        <w:t>与</w:t>
      </w:r>
      <w:r>
        <w:rPr>
          <w:rFonts w:hint="default" w:ascii="Times New Roman" w:hAnsi="Times New Roman" w:eastAsia="仿宋_GB2312" w:cs="Times New Roman"/>
          <w:sz w:val="32"/>
          <w:szCs w:val="32"/>
          <w:lang w:val="en" w:eastAsia="zh-CN"/>
        </w:rPr>
        <w:t>化解</w:t>
      </w:r>
      <w:r>
        <w:rPr>
          <w:rFonts w:hint="eastAsia" w:ascii="Times New Roman" w:hAnsi="Times New Roman" w:eastAsia="仿宋_GB2312" w:cs="Times New Roman"/>
          <w:sz w:val="32"/>
          <w:szCs w:val="32"/>
          <w:lang w:val="en" w:eastAsia="zh-CN"/>
        </w:rPr>
        <w:t>的研究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12.</w:t>
      </w:r>
      <w:r>
        <w:rPr>
          <w:rFonts w:hint="eastAsia" w:ascii="Times New Roman" w:hAnsi="Times New Roman" w:eastAsia="仿宋_GB2312" w:cs="Times New Roman"/>
          <w:sz w:val="32"/>
          <w:szCs w:val="32"/>
          <w:lang w:val="en" w:eastAsia="zh-CN"/>
        </w:rPr>
        <w:t>关于</w:t>
      </w:r>
      <w:r>
        <w:rPr>
          <w:rFonts w:hint="default" w:ascii="Times New Roman" w:hAnsi="Times New Roman" w:eastAsia="仿宋_GB2312" w:cs="Times New Roman"/>
          <w:sz w:val="32"/>
          <w:szCs w:val="32"/>
          <w:lang w:val="en" w:eastAsia="zh-CN"/>
        </w:rPr>
        <w:t>非法</w:t>
      </w:r>
      <w:r>
        <w:rPr>
          <w:rFonts w:hint="eastAsia" w:ascii="Times New Roman" w:hAnsi="Times New Roman" w:eastAsia="仿宋_GB2312" w:cs="Times New Roman"/>
          <w:sz w:val="32"/>
          <w:szCs w:val="32"/>
          <w:lang w:val="en" w:eastAsia="zh-CN"/>
        </w:rPr>
        <w:t>金融</w:t>
      </w:r>
      <w:r>
        <w:rPr>
          <w:rFonts w:hint="default" w:ascii="Times New Roman" w:hAnsi="Times New Roman" w:eastAsia="仿宋_GB2312" w:cs="Times New Roman"/>
          <w:sz w:val="32"/>
          <w:szCs w:val="32"/>
          <w:lang w:val="en" w:eastAsia="zh-CN"/>
        </w:rPr>
        <w:t>活动</w:t>
      </w:r>
      <w:r>
        <w:rPr>
          <w:rFonts w:hint="eastAsia" w:ascii="Times New Roman" w:hAnsi="Times New Roman" w:eastAsia="仿宋_GB2312" w:cs="Times New Roman"/>
          <w:sz w:val="32"/>
          <w:szCs w:val="32"/>
          <w:lang w:val="en" w:eastAsia="zh-CN"/>
        </w:rPr>
        <w:t>风险的防范</w:t>
      </w:r>
      <w:r>
        <w:rPr>
          <w:rFonts w:hint="default" w:ascii="Times New Roman" w:hAnsi="Times New Roman" w:eastAsia="仿宋_GB2312" w:cs="Times New Roman"/>
          <w:sz w:val="32"/>
          <w:szCs w:val="32"/>
          <w:lang w:val="en" w:eastAsia="zh-CN"/>
        </w:rPr>
        <w:t>对策研究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13.商业银行应对信贷资产质量下行压力与信用风险的研究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14.</w:t>
      </w:r>
      <w:r>
        <w:rPr>
          <w:rFonts w:hint="eastAsia" w:ascii="Times New Roman" w:hAnsi="Times New Roman" w:eastAsia="仿宋_GB2312" w:cs="Times New Roman"/>
          <w:sz w:val="32"/>
          <w:szCs w:val="32"/>
          <w:lang w:val="en" w:eastAsia="zh-CN"/>
        </w:rPr>
        <w:t>宁夏地方</w:t>
      </w:r>
      <w:r>
        <w:rPr>
          <w:rFonts w:hint="default" w:ascii="Times New Roman" w:hAnsi="Times New Roman" w:eastAsia="仿宋_GB2312" w:cs="Times New Roman"/>
          <w:sz w:val="32"/>
          <w:szCs w:val="32"/>
          <w:lang w:val="en" w:eastAsia="zh-CN"/>
        </w:rPr>
        <w:t>中小银行风险防范管理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 xml:space="preserve">    15.</w:t>
      </w:r>
      <w:r>
        <w:rPr>
          <w:rFonts w:hint="eastAsia" w:ascii="Times New Roman" w:hAnsi="Times New Roman" w:eastAsia="仿宋_GB2312" w:cs="Times New Roman"/>
          <w:sz w:val="32"/>
          <w:szCs w:val="32"/>
          <w:lang w:val="en" w:eastAsia="zh-CN"/>
        </w:rPr>
        <w:t>政府性融资担保公司风险防范与控制策略的研究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16.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利差收窄背景下商业银行应对策略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的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b/>
          <w:bCs/>
          <w:sz w:val="32"/>
          <w:szCs w:val="32"/>
          <w:lang w:val="en" w:eastAsia="zh-CN"/>
        </w:rPr>
      </w:pPr>
      <w:r>
        <w:rPr>
          <w:rFonts w:hint="default" w:ascii="Times New Roman" w:hAnsi="Times New Roman" w:eastAsia="黑体" w:cs="Times New Roman"/>
          <w:b w:val="0"/>
          <w:bCs w:val="0"/>
          <w:sz w:val="32"/>
          <w:szCs w:val="32"/>
          <w:lang w:val="en" w:eastAsia="zh-CN"/>
        </w:rPr>
        <w:t>三、</w:t>
      </w:r>
      <w:r>
        <w:rPr>
          <w:rFonts w:hint="eastAsia" w:ascii="Times New Roman" w:hAnsi="Times New Roman" w:eastAsia="黑体" w:cs="Times New Roman"/>
          <w:b w:val="0"/>
          <w:bCs w:val="0"/>
          <w:sz w:val="32"/>
          <w:szCs w:val="32"/>
          <w:lang w:val="en" w:eastAsia="zh-CN"/>
        </w:rPr>
        <w:t>强化金融监管</w:t>
      </w:r>
    </w:p>
    <w:bookmarkEnd w:id="0"/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17.完善宁夏金融监管体系研究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18.运用大数据赋能金融监管的研究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19.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健全地方金融组织监管体制的研究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20.地方金融组织监管法律体系建设研究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21.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打击非法金融活动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协作创新体系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机制研究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22.推动地方金融组织减量提质的对策建议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left"/>
        <w:textAlignment w:val="auto"/>
        <w:rPr>
          <w:rFonts w:hint="default" w:ascii="Times New Roman" w:hAnsi="Times New Roman" w:eastAsia="黑体" w:cs="Times New Roman"/>
          <w:b w:val="0"/>
          <w:bCs w:val="0"/>
          <w:sz w:val="32"/>
          <w:szCs w:val="32"/>
          <w:lang w:val="en" w:eastAsia="zh-CN"/>
        </w:rPr>
      </w:pPr>
      <w:r>
        <w:rPr>
          <w:rFonts w:hint="eastAsia" w:ascii="Times New Roman" w:hAnsi="Times New Roman" w:eastAsia="黑体" w:cs="Times New Roman"/>
          <w:b w:val="0"/>
          <w:bCs w:val="0"/>
          <w:sz w:val="32"/>
          <w:szCs w:val="32"/>
          <w:lang w:val="en" w:eastAsia="zh-CN"/>
        </w:rPr>
        <w:t>四、</w:t>
      </w:r>
      <w:r>
        <w:rPr>
          <w:rFonts w:hint="default" w:ascii="Times New Roman" w:hAnsi="Times New Roman" w:eastAsia="黑体" w:cs="Times New Roman"/>
          <w:b w:val="0"/>
          <w:bCs w:val="0"/>
          <w:sz w:val="32"/>
          <w:szCs w:val="32"/>
          <w:lang w:val="en" w:eastAsia="zh-CN"/>
        </w:rPr>
        <w:t>金融支持实体经济发展研究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23.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宁夏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现代金融产业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高质量发展的实现路径研究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1278" w:leftChars="304" w:hanging="640" w:hangingChars="200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24.关于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金融支持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宁夏重点产业（六大产业集群、四大重点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960" w:firstLineChars="3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产业）发展的研究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25.金融服务新质生产力的模式研究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26.关于产业引导基金培育重点产业发展壮大的路径研究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27.关于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金融助力提振消费的对策建议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28.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地方法人银行健康发展路径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研究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29.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保险业支持实体经济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路径的研究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30.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宁夏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利用多层次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资本市场实现高质量发展研究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958" w:leftChars="304" w:hanging="320" w:hangingChars="1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31.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宁夏做好科技金融、绿色金融、普惠金融、养老金融、数字金融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“五篇大文章”的有效路径研究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958" w:leftChars="304" w:hanging="320" w:hangingChars="1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32.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宁夏企业利用期货市场降本增收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成效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研究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958" w:leftChars="304" w:hanging="320" w:hangingChars="1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33.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绿色金融支持黄河流域生态保护和高质量发展研究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34.地方金融组织助力全区经济社会高质量发展研究</w:t>
      </w:r>
    </w:p>
    <w:sectPr>
      <w:footerReference r:id="rId3" w:type="default"/>
      <w:pgSz w:w="11906" w:h="16838"/>
      <w:pgMar w:top="1440" w:right="1587" w:bottom="1440" w:left="1587" w:header="851" w:footer="992" w:gutter="0"/>
      <w:pgNumType w:fmt="decimal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snapToGrid w:val="0"/>
                            <w:rPr>
                              <w:rFonts w:hint="default" w:ascii="Times New Roman" w:hAnsi="Times New Roman" w:cs="Times New Roman" w:eastAsiaTheme="minorEastAsia"/>
                              <w:sz w:val="24"/>
                              <w:szCs w:val="40"/>
                              <w:lang w:eastAsia="zh-CN"/>
                            </w:rPr>
                          </w:pPr>
                          <w:r>
                            <w:rPr>
                              <w:rFonts w:hint="eastAsia" w:eastAsiaTheme="minorEastAsia"/>
                              <w:sz w:val="18"/>
                              <w:lang w:eastAsia="zh-CN"/>
                            </w:rPr>
                            <w:t xml:space="preserve">— </w:t>
                          </w:r>
                          <w:r>
                            <w:rPr>
                              <w:rFonts w:hint="default" w:ascii="Times New Roman" w:hAnsi="Times New Roman" w:cs="Times New Roman" w:eastAsiaTheme="minorEastAsia"/>
                              <w:sz w:val="24"/>
                              <w:szCs w:val="40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cs="Times New Roman" w:eastAsiaTheme="minorEastAsia"/>
                              <w:sz w:val="24"/>
                              <w:szCs w:val="40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cs="Times New Roman" w:eastAsiaTheme="minorEastAsia"/>
                              <w:sz w:val="24"/>
                              <w:szCs w:val="40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cs="Times New Roman" w:eastAsiaTheme="minorEastAsia"/>
                              <w:sz w:val="24"/>
                              <w:szCs w:val="40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default" w:ascii="Times New Roman" w:hAnsi="Times New Roman" w:cs="Times New Roman" w:eastAsiaTheme="minorEastAsia"/>
                              <w:sz w:val="24"/>
                              <w:szCs w:val="40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default" w:ascii="Times New Roman" w:hAnsi="Times New Roman" w:cs="Times New Roman" w:eastAsiaTheme="minorEastAsia"/>
                              <w:sz w:val="24"/>
                              <w:szCs w:val="40"/>
                              <w:lang w:eastAsia="zh-CN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false" anchor="t" anchorCtr="false" forceAA="false" upright="false" compatLnSpc="tru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BYAAABkcnMvUEsBAhQAFAAAAAgA&#10;h07iQLNJWO7QAAAABQEAAA8AAAAAAAAAAQAgAAAAOAAAAGRycy9kb3ducmV2LnhtbFBLAQIUABQA&#10;AAAIAIdO4kA8FiLyGwIAACkEAAAOAAAAAAAAAAEAIAAAADU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snapToGrid w:val="0"/>
                      <w:rPr>
                        <w:rFonts w:hint="default" w:ascii="Times New Roman" w:hAnsi="Times New Roman" w:cs="Times New Roman" w:eastAsiaTheme="minorEastAsia"/>
                        <w:sz w:val="24"/>
                        <w:szCs w:val="40"/>
                        <w:lang w:eastAsia="zh-CN"/>
                      </w:rPr>
                    </w:pPr>
                    <w:r>
                      <w:rPr>
                        <w:rFonts w:hint="eastAsia" w:eastAsiaTheme="minorEastAsia"/>
                        <w:sz w:val="18"/>
                        <w:lang w:eastAsia="zh-CN"/>
                      </w:rPr>
                      <w:t xml:space="preserve">— </w:t>
                    </w:r>
                    <w:r>
                      <w:rPr>
                        <w:rFonts w:hint="default" w:ascii="Times New Roman" w:hAnsi="Times New Roman" w:cs="Times New Roman" w:eastAsiaTheme="minorEastAsia"/>
                        <w:sz w:val="24"/>
                        <w:szCs w:val="40"/>
                        <w:lang w:eastAsia="zh-CN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cs="Times New Roman" w:eastAsiaTheme="minorEastAsia"/>
                        <w:sz w:val="24"/>
                        <w:szCs w:val="40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cs="Times New Roman" w:eastAsiaTheme="minorEastAsia"/>
                        <w:sz w:val="24"/>
                        <w:szCs w:val="40"/>
                        <w:lang w:eastAsia="zh-CN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cs="Times New Roman" w:eastAsiaTheme="minorEastAsia"/>
                        <w:sz w:val="24"/>
                        <w:szCs w:val="40"/>
                        <w:lang w:eastAsia="zh-CN"/>
                      </w:rPr>
                      <w:t>1</w:t>
                    </w:r>
                    <w:r>
                      <w:rPr>
                        <w:rFonts w:hint="default" w:ascii="Times New Roman" w:hAnsi="Times New Roman" w:cs="Times New Roman" w:eastAsiaTheme="minorEastAsia"/>
                        <w:sz w:val="24"/>
                        <w:szCs w:val="40"/>
                        <w:lang w:eastAsia="zh-CN"/>
                      </w:rPr>
                      <w:fldChar w:fldCharType="end"/>
                    </w:r>
                    <w:r>
                      <w:rPr>
                        <w:rFonts w:hint="default" w:ascii="Times New Roman" w:hAnsi="Times New Roman" w:cs="Times New Roman" w:eastAsiaTheme="minorEastAsia"/>
                        <w:sz w:val="24"/>
                        <w:szCs w:val="40"/>
                        <w:lang w:eastAsia="zh-CN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06D71FF"/>
    <w:multiLevelType w:val="multilevel"/>
    <w:tmpl w:val="606D71FF"/>
    <w:lvl w:ilvl="0" w:tentative="0">
      <w:start w:val="1"/>
      <w:numFmt w:val="decimal"/>
      <w:suff w:val="nothing"/>
      <w:lvlText w:val="%1."/>
      <w:lvlJc w:val="left"/>
    </w:lvl>
    <w:lvl w:ilvl="1" w:tentative="0">
      <w:start w:val="1"/>
      <w:numFmt w:val="decimal"/>
      <w:lvlText w:val=""/>
      <w:lvlJc w:val="left"/>
    </w:lvl>
    <w:lvl w:ilvl="2" w:tentative="0">
      <w:start w:val="1"/>
      <w:numFmt w:val="decimal"/>
      <w:lvlText w:val=""/>
      <w:lvlJc w:val="left"/>
    </w:lvl>
    <w:lvl w:ilvl="3" w:tentative="0">
      <w:start w:val="1"/>
      <w:numFmt w:val="decimal"/>
      <w:lvlText w:val=""/>
      <w:lvlJc w:val="left"/>
    </w:lvl>
    <w:lvl w:ilvl="4" w:tentative="0">
      <w:start w:val="1"/>
      <w:numFmt w:val="decimal"/>
      <w:lvlText w:val=""/>
      <w:lvlJc w:val="left"/>
    </w:lvl>
    <w:lvl w:ilvl="5" w:tentative="0">
      <w:start w:val="1"/>
      <w:numFmt w:val="decimal"/>
      <w:lvlText w:val=""/>
      <w:lvlJc w:val="left"/>
    </w:lvl>
    <w:lvl w:ilvl="6" w:tentative="0">
      <w:start w:val="1"/>
      <w:numFmt w:val="decimal"/>
      <w:lvlText w:val=""/>
      <w:lvlJc w:val="left"/>
    </w:lvl>
    <w:lvl w:ilvl="7" w:tentative="0">
      <w:start w:val="1"/>
      <w:numFmt w:val="decimal"/>
      <w:lvlText w:val=""/>
      <w:lvlJc w:val="left"/>
    </w:lvl>
    <w:lvl w:ilvl="8" w:tentative="0">
      <w:start w:val="1"/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bordersDoNotSurroundHeader w:val="false"/>
  <w:bordersDoNotSurroundFooter w:val="false"/>
  <w:documentProtection w:enforcement="0"/>
  <w:defaultTabStop w:val="420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3476ECD"/>
    <w:rsid w:val="097F5D83"/>
    <w:rsid w:val="0C05313E"/>
    <w:rsid w:val="0C3F1BFE"/>
    <w:rsid w:val="0F515D6D"/>
    <w:rsid w:val="10E3184A"/>
    <w:rsid w:val="11CF389A"/>
    <w:rsid w:val="137D74CD"/>
    <w:rsid w:val="192379D5"/>
    <w:rsid w:val="1C8C5F61"/>
    <w:rsid w:val="20705B92"/>
    <w:rsid w:val="235E4C0F"/>
    <w:rsid w:val="24F46A89"/>
    <w:rsid w:val="276E74E8"/>
    <w:rsid w:val="27D01011"/>
    <w:rsid w:val="27DB1D51"/>
    <w:rsid w:val="284A50BE"/>
    <w:rsid w:val="28AA7325"/>
    <w:rsid w:val="2CCE2374"/>
    <w:rsid w:val="2F60771D"/>
    <w:rsid w:val="317B6B68"/>
    <w:rsid w:val="31E108EB"/>
    <w:rsid w:val="32F6723C"/>
    <w:rsid w:val="37714D75"/>
    <w:rsid w:val="37E02301"/>
    <w:rsid w:val="3D7D47AD"/>
    <w:rsid w:val="3E6F2C76"/>
    <w:rsid w:val="3E77A191"/>
    <w:rsid w:val="3EAD7AB4"/>
    <w:rsid w:val="3FFB586C"/>
    <w:rsid w:val="407D55DE"/>
    <w:rsid w:val="408D092B"/>
    <w:rsid w:val="4153125A"/>
    <w:rsid w:val="4514463C"/>
    <w:rsid w:val="4E9D3880"/>
    <w:rsid w:val="522C4B4F"/>
    <w:rsid w:val="54635289"/>
    <w:rsid w:val="56CE1FFE"/>
    <w:rsid w:val="579D03F1"/>
    <w:rsid w:val="5A0239B6"/>
    <w:rsid w:val="5DFF40D1"/>
    <w:rsid w:val="63E96420"/>
    <w:rsid w:val="6740773C"/>
    <w:rsid w:val="674F5BA8"/>
    <w:rsid w:val="687B4801"/>
    <w:rsid w:val="6AFE55DC"/>
    <w:rsid w:val="6E930B5F"/>
    <w:rsid w:val="6F74802E"/>
    <w:rsid w:val="700D1AC3"/>
    <w:rsid w:val="72B87E60"/>
    <w:rsid w:val="72BF3FFE"/>
    <w:rsid w:val="72D33550"/>
    <w:rsid w:val="74727889"/>
    <w:rsid w:val="76FB47B0"/>
    <w:rsid w:val="779D7BF9"/>
    <w:rsid w:val="78A8487B"/>
    <w:rsid w:val="7ABFB861"/>
    <w:rsid w:val="7B036612"/>
    <w:rsid w:val="7D61CD02"/>
    <w:rsid w:val="7D8A31E4"/>
    <w:rsid w:val="7DBB3321"/>
    <w:rsid w:val="7EAF737B"/>
    <w:rsid w:val="7EFD68C8"/>
    <w:rsid w:val="7F54096B"/>
    <w:rsid w:val="7F5E3A3F"/>
    <w:rsid w:val="7F6D43B7"/>
    <w:rsid w:val="7FDE1CB6"/>
    <w:rsid w:val="7FF96F54"/>
    <w:rsid w:val="7FFE944D"/>
    <w:rsid w:val="8EF75ED3"/>
    <w:rsid w:val="9FF77705"/>
    <w:rsid w:val="AD91C61B"/>
    <w:rsid w:val="BCFF0392"/>
    <w:rsid w:val="CFF31C1F"/>
    <w:rsid w:val="CFFDC27E"/>
    <w:rsid w:val="D6E5F91E"/>
    <w:rsid w:val="D9A9C55E"/>
    <w:rsid w:val="DAFFE25F"/>
    <w:rsid w:val="DCEF3F74"/>
    <w:rsid w:val="DF767DDD"/>
    <w:rsid w:val="EB76A8C4"/>
    <w:rsid w:val="EDF47411"/>
    <w:rsid w:val="EE3C695B"/>
    <w:rsid w:val="EFC3BFB5"/>
    <w:rsid w:val="EFFF05D3"/>
    <w:rsid w:val="F6FFEEAC"/>
    <w:rsid w:val="F9FE4C2D"/>
    <w:rsid w:val="FA260554"/>
    <w:rsid w:val="FBFFDB92"/>
    <w:rsid w:val="FD30A723"/>
    <w:rsid w:val="FDF5C7E4"/>
    <w:rsid w:val="FF3502C7"/>
    <w:rsid w:val="FF3BD637"/>
    <w:rsid w:val="FF7C3AB6"/>
    <w:rsid w:val="FFCFA33A"/>
    <w:rsid w:val="FFEB27C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next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Hyperlink"/>
    <w:basedOn w:val="6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32</TotalTime>
  <ScaleCrop>false</ScaleCrop>
  <LinksUpToDate>false</LinksUpToDate>
  <CharactersWithSpaces>0</CharactersWithSpaces>
  <Application>WPS Office_11.8.2.10251_F1E327BC-269C-435d-A152-05C5408002CA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2014-11-01T04:08:00Z</dcterms:created>
  <dc:creator>Administrator</dc:creator>
  <cp:lastModifiedBy>jrj</cp:lastModifiedBy>
  <cp:lastPrinted>2026-04-14T18:05:00Z</cp:lastPrinted>
  <dcterms:modified xsi:type="dcterms:W3CDTF">2026-04-30T09:29:11Z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2052-11.8.2.10251</vt:lpwstr>
  </property>
</Properties>
</file>